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sz w:val="44"/>
          <w:szCs w:val="44"/>
        </w:rPr>
      </w:pPr>
      <w:bookmarkStart w:id="0" w:name="_GoBack"/>
      <w:r>
        <w:rPr>
          <w:rFonts w:hint="eastAsia"/>
          <w:b/>
          <w:bCs/>
          <w:sz w:val="36"/>
          <w:szCs w:val="36"/>
          <w:lang w:val="en-US" w:eastAsia="zh-CN"/>
        </w:rPr>
        <w:t>17.</w:t>
      </w:r>
      <w:r>
        <w:rPr>
          <w:rFonts w:hint="eastAsia"/>
          <w:b/>
          <w:bCs/>
          <w:sz w:val="36"/>
          <w:szCs w:val="36"/>
        </w:rPr>
        <w:t>长沙财经学校</w:t>
      </w:r>
    </w:p>
    <w:bookmarkEnd w:id="0"/>
    <w:p>
      <w:pPr>
        <w:adjustRightInd w:val="0"/>
        <w:snapToGrid w:val="0"/>
        <w:spacing w:line="440" w:lineRule="exact"/>
        <w:rPr>
          <w:b/>
          <w:bCs/>
          <w:sz w:val="32"/>
          <w:szCs w:val="32"/>
        </w:rPr>
      </w:pPr>
    </w:p>
    <w:p>
      <w:pPr>
        <w:adjustRightInd w:val="0"/>
        <w:snapToGrid w:val="0"/>
        <w:spacing w:line="360" w:lineRule="auto"/>
        <w:ind w:firstLine="420"/>
        <w:rPr>
          <w:b/>
          <w:bCs/>
        </w:rPr>
      </w:pPr>
      <w:r>
        <w:rPr>
          <w:rFonts w:hint="eastAsia"/>
          <w:b/>
          <w:bCs/>
        </w:rPr>
        <w:t>一、具体做法</w:t>
      </w:r>
    </w:p>
    <w:p>
      <w:pPr>
        <w:adjustRightInd w:val="0"/>
        <w:snapToGrid w:val="0"/>
        <w:spacing w:line="360" w:lineRule="auto"/>
        <w:ind w:firstLine="420"/>
        <w:rPr>
          <w:rFonts w:hint="eastAsia"/>
          <w:color w:val="auto"/>
          <w:u w:val="none"/>
        </w:rPr>
      </w:pPr>
      <w:r>
        <w:rPr>
          <w:rFonts w:hint="eastAsia"/>
          <w:color w:val="auto"/>
          <w:u w:val="none"/>
        </w:rPr>
        <w:t>1、</w:t>
      </w:r>
      <w:r>
        <w:rPr>
          <w:rFonts w:hint="eastAsia"/>
          <w:color w:val="auto"/>
          <w:u w:val="none"/>
          <w:lang w:eastAsia="zh-CN"/>
        </w:rPr>
        <w:t>当</w:t>
      </w:r>
      <w:r>
        <w:rPr>
          <w:rFonts w:hint="eastAsia"/>
          <w:color w:val="auto"/>
          <w:u w:val="none"/>
        </w:rPr>
        <w:t>招聘岗位的报名人数</w:t>
      </w:r>
      <w:r>
        <w:rPr>
          <w:rFonts w:hint="eastAsia"/>
          <w:color w:val="auto"/>
          <w:u w:val="none"/>
          <w:lang w:eastAsia="zh-CN"/>
        </w:rPr>
        <w:t>与招聘岗位数的比例不高于</w:t>
      </w:r>
      <w:r>
        <w:rPr>
          <w:rFonts w:hint="eastAsia"/>
          <w:color w:val="auto"/>
          <w:u w:val="none"/>
          <w:lang w:val="en-US" w:eastAsia="zh-CN"/>
        </w:rPr>
        <w:t>15:1时</w:t>
      </w:r>
      <w:r>
        <w:rPr>
          <w:rFonts w:hint="eastAsia"/>
          <w:color w:val="auto"/>
          <w:u w:val="none"/>
        </w:rPr>
        <w:t>，初试</w:t>
      </w:r>
      <w:r>
        <w:rPr>
          <w:rFonts w:hint="eastAsia"/>
          <w:color w:val="auto"/>
          <w:u w:val="none"/>
          <w:lang w:eastAsia="zh-CN"/>
        </w:rPr>
        <w:t>按下表安排进行。</w:t>
      </w:r>
      <w:r>
        <w:rPr>
          <w:rFonts w:hint="eastAsia"/>
          <w:color w:val="auto"/>
          <w:u w:val="none"/>
        </w:rPr>
        <w:t>面试时长3分钟，片段教学</w:t>
      </w:r>
      <w:r>
        <w:rPr>
          <w:rFonts w:hint="eastAsia"/>
          <w:color w:val="auto"/>
          <w:u w:val="none"/>
          <w:lang w:eastAsia="zh-CN"/>
        </w:rPr>
        <w:t>（</w:t>
      </w:r>
      <w:r>
        <w:rPr>
          <w:rFonts w:hint="eastAsia"/>
          <w:color w:val="auto"/>
          <w:u w:val="none"/>
        </w:rPr>
        <w:t>准备时长30分钟</w:t>
      </w:r>
      <w:r>
        <w:rPr>
          <w:rFonts w:hint="eastAsia"/>
          <w:color w:val="auto"/>
          <w:u w:val="none"/>
          <w:lang w:eastAsia="zh-CN"/>
        </w:rPr>
        <w:t>）</w:t>
      </w:r>
      <w:r>
        <w:rPr>
          <w:rFonts w:hint="eastAsia"/>
          <w:color w:val="auto"/>
          <w:u w:val="none"/>
        </w:rPr>
        <w:t>时长</w:t>
      </w:r>
      <w:r>
        <w:rPr>
          <w:rFonts w:hint="eastAsia"/>
          <w:color w:val="auto"/>
          <w:u w:val="none"/>
          <w:lang w:val="en-US" w:eastAsia="zh-CN"/>
        </w:rPr>
        <w:t>6</w:t>
      </w:r>
      <w:r>
        <w:rPr>
          <w:rFonts w:hint="eastAsia"/>
          <w:color w:val="auto"/>
          <w:u w:val="none"/>
        </w:rPr>
        <w:t>分钟，</w:t>
      </w:r>
      <w:r>
        <w:rPr>
          <w:rFonts w:hint="eastAsia"/>
          <w:color w:val="auto"/>
          <w:u w:val="none"/>
          <w:lang w:eastAsia="zh-CN"/>
        </w:rPr>
        <w:t>美术岗位的才艺展示、</w:t>
      </w:r>
      <w:r>
        <w:rPr>
          <w:rFonts w:hint="eastAsia" w:ascii="宋体" w:hAnsi="宋体"/>
          <w:bCs/>
          <w:sz w:val="18"/>
          <w:szCs w:val="18"/>
        </w:rPr>
        <w:t>计算机科学与技术</w:t>
      </w:r>
      <w:r>
        <w:rPr>
          <w:rFonts w:hint="eastAsia" w:ascii="宋体" w:hAnsi="宋体"/>
          <w:bCs/>
          <w:sz w:val="18"/>
          <w:szCs w:val="18"/>
          <w:lang w:eastAsia="zh-CN"/>
        </w:rPr>
        <w:t>岗位的</w:t>
      </w:r>
      <w:r>
        <w:rPr>
          <w:rFonts w:hint="eastAsia"/>
          <w:color w:val="auto"/>
          <w:u w:val="none"/>
        </w:rPr>
        <w:t>技能展示</w:t>
      </w:r>
      <w:r>
        <w:rPr>
          <w:rFonts w:hint="eastAsia"/>
          <w:color w:val="auto"/>
          <w:u w:val="none"/>
          <w:lang w:eastAsia="zh-CN"/>
        </w:rPr>
        <w:t>、公文写作时长均为</w:t>
      </w:r>
      <w:r>
        <w:rPr>
          <w:rFonts w:hint="eastAsia"/>
          <w:color w:val="auto"/>
          <w:u w:val="none"/>
          <w:lang w:val="en-US" w:eastAsia="zh-CN"/>
        </w:rPr>
        <w:t>60分钟，其他岗位的</w:t>
      </w:r>
      <w:r>
        <w:rPr>
          <w:rFonts w:hint="eastAsia"/>
          <w:color w:val="auto"/>
          <w:u w:val="none"/>
        </w:rPr>
        <w:t>才艺展示、技能展示时长</w:t>
      </w:r>
      <w:r>
        <w:rPr>
          <w:rFonts w:hint="eastAsia"/>
          <w:color w:val="auto"/>
          <w:u w:val="none"/>
          <w:lang w:eastAsia="zh-CN"/>
        </w:rPr>
        <w:t>均</w:t>
      </w:r>
      <w:r>
        <w:rPr>
          <w:rFonts w:hint="eastAsia"/>
          <w:color w:val="auto"/>
          <w:u w:val="none"/>
        </w:rPr>
        <w:t>为</w:t>
      </w:r>
      <w:r>
        <w:rPr>
          <w:rFonts w:hint="eastAsia"/>
          <w:color w:val="auto"/>
          <w:u w:val="none"/>
          <w:lang w:val="en-US" w:eastAsia="zh-CN"/>
        </w:rPr>
        <w:t>5</w:t>
      </w:r>
      <w:r>
        <w:rPr>
          <w:rFonts w:hint="eastAsia"/>
          <w:color w:val="auto"/>
          <w:u w:val="none"/>
        </w:rPr>
        <w:t>分钟</w:t>
      </w:r>
      <w:r>
        <w:rPr>
          <w:rFonts w:hint="eastAsia"/>
          <w:color w:val="auto"/>
          <w:u w:val="none"/>
          <w:lang w:val="en-US" w:eastAsia="zh-CN"/>
        </w:rPr>
        <w:t>。</w:t>
      </w:r>
      <w:r>
        <w:rPr>
          <w:rFonts w:hint="eastAsia"/>
          <w:color w:val="auto"/>
          <w:u w:val="none"/>
        </w:rPr>
        <w:t>满分均为100分</w:t>
      </w:r>
      <w:r>
        <w:rPr>
          <w:rFonts w:hint="eastAsia"/>
          <w:color w:val="auto"/>
          <w:u w:val="none"/>
          <w:lang w:eastAsia="zh-CN"/>
        </w:rPr>
        <w:t>。</w:t>
      </w:r>
      <w:r>
        <w:rPr>
          <w:rFonts w:hint="eastAsia"/>
          <w:color w:val="auto"/>
          <w:u w:val="none"/>
        </w:rPr>
        <w:t>考生得分为所有评委评分中去掉一个最低分和一个最高分后的平均得分（四舍五入后保留两位小数，下同）</w:t>
      </w:r>
      <w:r>
        <w:rPr>
          <w:rFonts w:hint="eastAsia"/>
          <w:color w:val="auto"/>
          <w:u w:val="none"/>
          <w:lang w:eastAsia="zh-CN"/>
        </w:rPr>
        <w:t>。</w:t>
      </w:r>
      <w:r>
        <w:rPr>
          <w:rFonts w:hint="eastAsia"/>
          <w:color w:val="auto"/>
          <w:u w:val="none"/>
        </w:rPr>
        <w:t>面试</w:t>
      </w:r>
      <w:r>
        <w:rPr>
          <w:rFonts w:hint="eastAsia"/>
          <w:color w:val="auto"/>
          <w:u w:val="none"/>
          <w:lang w:eastAsia="zh-CN"/>
        </w:rPr>
        <w:t>、</w:t>
      </w:r>
      <w:r>
        <w:rPr>
          <w:rFonts w:hint="eastAsia"/>
          <w:color w:val="auto"/>
          <w:u w:val="none"/>
        </w:rPr>
        <w:t>片段教学（才艺展示或技能展示）</w:t>
      </w:r>
      <w:r>
        <w:rPr>
          <w:rFonts w:hint="eastAsia"/>
          <w:color w:val="auto"/>
          <w:u w:val="none"/>
          <w:lang w:eastAsia="zh-CN"/>
        </w:rPr>
        <w:t>得分</w:t>
      </w:r>
      <w:r>
        <w:rPr>
          <w:rFonts w:hint="eastAsia"/>
          <w:color w:val="auto"/>
          <w:u w:val="none"/>
        </w:rPr>
        <w:t>按4∶6的比例合成为初试成绩。初试成绩于当天在学校网站公布。</w:t>
      </w:r>
    </w:p>
    <w:tbl>
      <w:tblPr>
        <w:tblStyle w:val="3"/>
        <w:tblW w:w="8193" w:type="dxa"/>
        <w:jc w:val="center"/>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1"/>
        <w:gridCol w:w="1134"/>
        <w:gridCol w:w="1134"/>
        <w:gridCol w:w="1560"/>
        <w:gridCol w:w="1134"/>
        <w:gridCol w:w="1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701" w:type="dxa"/>
            <w:vAlign w:val="center"/>
          </w:tcPr>
          <w:p>
            <w:pPr>
              <w:jc w:val="center"/>
              <w:rPr>
                <w:rFonts w:ascii="宋体" w:hAnsi="宋体"/>
                <w:bCs/>
                <w:sz w:val="18"/>
                <w:szCs w:val="18"/>
              </w:rPr>
            </w:pPr>
            <w:r>
              <w:rPr>
                <w:rFonts w:hint="eastAsia" w:ascii="宋体" w:hAnsi="宋体"/>
                <w:bCs/>
                <w:sz w:val="18"/>
                <w:szCs w:val="18"/>
              </w:rPr>
              <w:t>岗位名称</w:t>
            </w:r>
          </w:p>
        </w:tc>
        <w:tc>
          <w:tcPr>
            <w:tcW w:w="1134" w:type="dxa"/>
            <w:tcBorders>
              <w:left w:val="single" w:color="auto" w:sz="4" w:space="0"/>
            </w:tcBorders>
            <w:vAlign w:val="center"/>
          </w:tcPr>
          <w:p>
            <w:pPr>
              <w:jc w:val="center"/>
              <w:rPr>
                <w:rFonts w:ascii="宋体" w:hAnsi="宋体"/>
                <w:bCs/>
                <w:sz w:val="18"/>
                <w:szCs w:val="18"/>
              </w:rPr>
            </w:pPr>
            <w:r>
              <w:rPr>
                <w:rFonts w:hint="eastAsia" w:ascii="宋体" w:hAnsi="宋体"/>
                <w:bCs/>
                <w:sz w:val="18"/>
                <w:szCs w:val="18"/>
              </w:rPr>
              <w:t>岗位代码</w:t>
            </w:r>
          </w:p>
        </w:tc>
        <w:tc>
          <w:tcPr>
            <w:tcW w:w="1134" w:type="dxa"/>
            <w:tcBorders>
              <w:right w:val="single" w:color="auto" w:sz="4" w:space="0"/>
            </w:tcBorders>
            <w:vAlign w:val="center"/>
          </w:tcPr>
          <w:p>
            <w:pPr>
              <w:jc w:val="center"/>
              <w:rPr>
                <w:rFonts w:ascii="宋体" w:hAnsi="宋体"/>
                <w:bCs/>
                <w:sz w:val="18"/>
                <w:szCs w:val="18"/>
              </w:rPr>
            </w:pPr>
            <w:r>
              <w:rPr>
                <w:rFonts w:hint="eastAsia" w:ascii="宋体" w:hAnsi="宋体"/>
                <w:bCs/>
                <w:sz w:val="18"/>
                <w:szCs w:val="18"/>
              </w:rPr>
              <w:t>初试方式</w:t>
            </w:r>
          </w:p>
        </w:tc>
        <w:tc>
          <w:tcPr>
            <w:tcW w:w="1560" w:type="dxa"/>
            <w:tcBorders>
              <w:right w:val="single" w:color="auto" w:sz="4" w:space="0"/>
            </w:tcBorders>
            <w:vAlign w:val="center"/>
          </w:tcPr>
          <w:p>
            <w:pPr>
              <w:jc w:val="center"/>
              <w:rPr>
                <w:rFonts w:ascii="宋体" w:hAnsi="宋体"/>
                <w:bCs/>
                <w:sz w:val="18"/>
                <w:szCs w:val="18"/>
              </w:rPr>
            </w:pPr>
            <w:r>
              <w:rPr>
                <w:rFonts w:hint="eastAsia" w:ascii="宋体" w:hAnsi="宋体"/>
                <w:bCs/>
                <w:sz w:val="18"/>
                <w:szCs w:val="18"/>
              </w:rPr>
              <w:t>初试日期</w:t>
            </w:r>
          </w:p>
        </w:tc>
        <w:tc>
          <w:tcPr>
            <w:tcW w:w="1134" w:type="dxa"/>
            <w:tcBorders>
              <w:left w:val="single" w:color="auto" w:sz="4" w:space="0"/>
              <w:right w:val="single" w:color="auto" w:sz="4" w:space="0"/>
            </w:tcBorders>
            <w:vAlign w:val="center"/>
          </w:tcPr>
          <w:p>
            <w:pPr>
              <w:jc w:val="center"/>
              <w:rPr>
                <w:rFonts w:ascii="宋体" w:hAnsi="宋体"/>
                <w:bCs/>
                <w:sz w:val="18"/>
                <w:szCs w:val="18"/>
              </w:rPr>
            </w:pPr>
            <w:r>
              <w:rPr>
                <w:rFonts w:hint="eastAsia" w:ascii="宋体" w:hAnsi="宋体"/>
                <w:bCs/>
                <w:sz w:val="18"/>
                <w:szCs w:val="18"/>
              </w:rPr>
              <w:t>集合时间</w:t>
            </w:r>
          </w:p>
        </w:tc>
        <w:tc>
          <w:tcPr>
            <w:tcW w:w="1530" w:type="dxa"/>
            <w:tcBorders>
              <w:left w:val="single" w:color="auto" w:sz="4" w:space="0"/>
            </w:tcBorders>
            <w:vAlign w:val="center"/>
          </w:tcPr>
          <w:p>
            <w:pPr>
              <w:jc w:val="center"/>
              <w:rPr>
                <w:rFonts w:ascii="宋体" w:hAnsi="宋体"/>
                <w:bCs/>
                <w:sz w:val="18"/>
                <w:szCs w:val="18"/>
              </w:rPr>
            </w:pPr>
            <w:r>
              <w:rPr>
                <w:rFonts w:hint="eastAsia" w:ascii="宋体" w:hAnsi="宋体"/>
                <w:bCs/>
                <w:sz w:val="18"/>
                <w:szCs w:val="18"/>
              </w:rPr>
              <w:t>集合地点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701" w:type="dxa"/>
            <w:vAlign w:val="center"/>
          </w:tcPr>
          <w:p>
            <w:pPr>
              <w:jc w:val="center"/>
              <w:rPr>
                <w:rFonts w:hint="eastAsia" w:ascii="宋体" w:hAnsi="宋体"/>
                <w:bCs/>
                <w:sz w:val="18"/>
                <w:szCs w:val="18"/>
                <w:lang w:val="en-US" w:eastAsia="zh-CN"/>
              </w:rPr>
            </w:pPr>
            <w:r>
              <w:rPr>
                <w:rFonts w:hint="eastAsia" w:ascii="宋体" w:hAnsi="宋体"/>
                <w:bCs/>
                <w:sz w:val="18"/>
                <w:szCs w:val="18"/>
                <w:lang w:eastAsia="zh-CN"/>
              </w:rPr>
              <w:t>中学语文</w:t>
            </w:r>
            <w:r>
              <w:rPr>
                <w:rFonts w:hint="eastAsia" w:ascii="宋体" w:hAnsi="宋体"/>
                <w:bCs/>
                <w:sz w:val="18"/>
                <w:szCs w:val="18"/>
                <w:lang w:val="en-US" w:eastAsia="zh-CN"/>
              </w:rPr>
              <w:t>A</w:t>
            </w:r>
          </w:p>
          <w:p>
            <w:pPr>
              <w:jc w:val="center"/>
              <w:rPr>
                <w:rFonts w:hint="eastAsia" w:ascii="宋体" w:hAnsi="宋体"/>
                <w:bCs/>
                <w:sz w:val="18"/>
                <w:szCs w:val="18"/>
                <w:lang w:val="en-US" w:eastAsia="zh-CN"/>
              </w:rPr>
            </w:pPr>
            <w:r>
              <w:rPr>
                <w:rFonts w:hint="eastAsia" w:ascii="宋体" w:hAnsi="宋体"/>
                <w:bCs/>
                <w:sz w:val="18"/>
                <w:szCs w:val="18"/>
                <w:lang w:eastAsia="zh-CN"/>
              </w:rPr>
              <w:t>中学语文</w:t>
            </w:r>
          </w:p>
        </w:tc>
        <w:tc>
          <w:tcPr>
            <w:tcW w:w="1134" w:type="dxa"/>
            <w:tcBorders>
              <w:left w:val="single" w:color="auto" w:sz="4" w:space="0"/>
            </w:tcBorders>
            <w:vAlign w:val="center"/>
          </w:tcPr>
          <w:p>
            <w:pPr>
              <w:jc w:val="center"/>
              <w:rPr>
                <w:rFonts w:hint="eastAsia" w:ascii="宋体" w:hAnsi="宋体"/>
                <w:bCs/>
                <w:sz w:val="18"/>
                <w:szCs w:val="18"/>
                <w:lang w:val="en-US" w:eastAsia="zh-CN"/>
              </w:rPr>
            </w:pPr>
            <w:r>
              <w:rPr>
                <w:rFonts w:hint="eastAsia" w:ascii="宋体" w:hAnsi="宋体"/>
                <w:bCs/>
                <w:sz w:val="18"/>
                <w:szCs w:val="18"/>
                <w:lang w:val="en-US" w:eastAsia="zh-CN"/>
              </w:rPr>
              <w:t>2801</w:t>
            </w:r>
          </w:p>
          <w:p>
            <w:pPr>
              <w:jc w:val="center"/>
              <w:rPr>
                <w:rFonts w:hint="eastAsia" w:ascii="宋体" w:hAnsi="宋体" w:eastAsia="宋体"/>
                <w:bCs/>
                <w:sz w:val="18"/>
                <w:szCs w:val="18"/>
                <w:lang w:val="en-US" w:eastAsia="zh-CN"/>
              </w:rPr>
            </w:pPr>
            <w:r>
              <w:rPr>
                <w:rFonts w:hint="eastAsia" w:ascii="宋体" w:hAnsi="宋体"/>
                <w:bCs/>
                <w:sz w:val="18"/>
                <w:szCs w:val="18"/>
                <w:lang w:val="en-US" w:eastAsia="zh-CN"/>
              </w:rPr>
              <w:t>2831</w:t>
            </w:r>
          </w:p>
        </w:tc>
        <w:tc>
          <w:tcPr>
            <w:tcW w:w="1134" w:type="dxa"/>
            <w:vMerge w:val="restart"/>
            <w:tcBorders>
              <w:right w:val="single" w:color="auto" w:sz="4" w:space="0"/>
            </w:tcBorders>
            <w:vAlign w:val="center"/>
          </w:tcPr>
          <w:p>
            <w:pPr>
              <w:jc w:val="center"/>
              <w:rPr>
                <w:rFonts w:hint="eastAsia" w:ascii="宋体" w:hAnsi="宋体"/>
                <w:bCs/>
                <w:sz w:val="18"/>
                <w:szCs w:val="18"/>
              </w:rPr>
            </w:pPr>
            <w:r>
              <w:rPr>
                <w:rFonts w:hint="eastAsia" w:ascii="宋体" w:hAnsi="宋体"/>
                <w:bCs/>
                <w:sz w:val="18"/>
                <w:szCs w:val="18"/>
              </w:rPr>
              <w:t>面试</w:t>
            </w:r>
          </w:p>
          <w:p>
            <w:pPr>
              <w:jc w:val="center"/>
              <w:rPr>
                <w:rFonts w:hint="eastAsia" w:ascii="宋体" w:hAnsi="宋体"/>
                <w:bCs/>
                <w:sz w:val="18"/>
                <w:szCs w:val="18"/>
              </w:rPr>
            </w:pPr>
          </w:p>
          <w:p>
            <w:pPr>
              <w:jc w:val="center"/>
              <w:rPr>
                <w:rFonts w:hint="eastAsia" w:ascii="宋体" w:hAnsi="宋体"/>
                <w:bCs/>
                <w:sz w:val="18"/>
                <w:szCs w:val="18"/>
              </w:rPr>
            </w:pPr>
            <w:r>
              <w:rPr>
                <w:rFonts w:hint="eastAsia" w:ascii="宋体" w:hAnsi="宋体"/>
                <w:bCs/>
                <w:sz w:val="18"/>
                <w:szCs w:val="18"/>
              </w:rPr>
              <w:t>片段教学</w:t>
            </w:r>
          </w:p>
        </w:tc>
        <w:tc>
          <w:tcPr>
            <w:tcW w:w="1560" w:type="dxa"/>
            <w:vMerge w:val="restart"/>
            <w:tcBorders>
              <w:right w:val="single" w:color="auto" w:sz="4" w:space="0"/>
            </w:tcBorders>
            <w:vAlign w:val="center"/>
          </w:tcPr>
          <w:p>
            <w:pPr>
              <w:jc w:val="center"/>
              <w:rPr>
                <w:rFonts w:hint="eastAsia" w:ascii="宋体" w:hAnsi="宋体"/>
                <w:bCs/>
                <w:sz w:val="18"/>
                <w:szCs w:val="18"/>
              </w:rPr>
            </w:pPr>
            <w:r>
              <w:rPr>
                <w:rFonts w:hint="eastAsia" w:ascii="宋体" w:hAnsi="宋体"/>
                <w:bCs/>
                <w:sz w:val="18"/>
                <w:szCs w:val="18"/>
              </w:rPr>
              <w:t>2019年3月10日</w:t>
            </w:r>
          </w:p>
          <w:p>
            <w:pPr>
              <w:jc w:val="center"/>
              <w:rPr>
                <w:rFonts w:hint="eastAsia" w:ascii="宋体" w:hAnsi="宋体" w:eastAsia="宋体"/>
                <w:bCs/>
                <w:sz w:val="18"/>
                <w:szCs w:val="18"/>
                <w:lang w:eastAsia="zh-CN"/>
              </w:rPr>
            </w:pPr>
            <w:r>
              <w:rPr>
                <w:rFonts w:hint="eastAsia" w:ascii="宋体" w:hAnsi="宋体"/>
                <w:bCs/>
                <w:sz w:val="18"/>
                <w:szCs w:val="18"/>
                <w:lang w:eastAsia="zh-CN"/>
              </w:rPr>
              <w:t>（星期日）</w:t>
            </w:r>
          </w:p>
        </w:tc>
        <w:tc>
          <w:tcPr>
            <w:tcW w:w="1134" w:type="dxa"/>
            <w:vMerge w:val="restart"/>
            <w:tcBorders>
              <w:left w:val="single" w:color="auto" w:sz="4" w:space="0"/>
              <w:right w:val="single" w:color="auto" w:sz="4" w:space="0"/>
            </w:tcBorders>
            <w:vAlign w:val="center"/>
          </w:tcPr>
          <w:p>
            <w:pPr>
              <w:jc w:val="center"/>
              <w:rPr>
                <w:rFonts w:hint="eastAsia" w:ascii="宋体" w:hAnsi="宋体" w:eastAsia="宋体"/>
                <w:bCs/>
                <w:sz w:val="18"/>
                <w:szCs w:val="18"/>
                <w:lang w:eastAsia="zh-CN"/>
              </w:rPr>
            </w:pPr>
            <w:r>
              <w:rPr>
                <w:rFonts w:hint="eastAsia" w:ascii="宋体" w:hAnsi="宋体"/>
                <w:bCs/>
                <w:sz w:val="18"/>
                <w:szCs w:val="18"/>
                <w:lang w:eastAsia="zh-CN"/>
              </w:rPr>
              <w:t>上午</w:t>
            </w:r>
            <w:r>
              <w:rPr>
                <w:rFonts w:hint="eastAsia" w:ascii="宋体" w:hAnsi="宋体"/>
                <w:bCs/>
                <w:sz w:val="18"/>
                <w:szCs w:val="18"/>
              </w:rPr>
              <w:t>8∶00</w:t>
            </w:r>
          </w:p>
        </w:tc>
        <w:tc>
          <w:tcPr>
            <w:tcW w:w="1530" w:type="dxa"/>
            <w:vMerge w:val="restart"/>
            <w:tcBorders>
              <w:left w:val="single" w:color="auto" w:sz="4" w:space="0"/>
            </w:tcBorders>
            <w:vAlign w:val="center"/>
          </w:tcPr>
          <w:p>
            <w:pPr>
              <w:jc w:val="center"/>
              <w:rPr>
                <w:rFonts w:ascii="宋体" w:hAnsi="宋体"/>
                <w:bCs/>
                <w:sz w:val="18"/>
                <w:szCs w:val="18"/>
              </w:rPr>
            </w:pPr>
            <w:r>
              <w:rPr>
                <w:rFonts w:hint="eastAsia" w:ascii="宋体" w:hAnsi="宋体"/>
                <w:bCs/>
                <w:sz w:val="18"/>
                <w:szCs w:val="18"/>
              </w:rPr>
              <w:t>职教城校区</w:t>
            </w:r>
          </w:p>
          <w:p>
            <w:pPr>
              <w:jc w:val="center"/>
              <w:rPr>
                <w:rFonts w:hint="eastAsia" w:ascii="宋体" w:hAnsi="宋体"/>
                <w:bCs/>
                <w:sz w:val="18"/>
                <w:szCs w:val="18"/>
              </w:rPr>
            </w:pPr>
            <w:r>
              <w:rPr>
                <w:rFonts w:hint="eastAsia" w:ascii="宋体" w:hAnsi="宋体"/>
                <w:bCs/>
                <w:sz w:val="18"/>
                <w:szCs w:val="18"/>
              </w:rPr>
              <w:t>慎勤楼报告厅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701" w:type="dxa"/>
            <w:vAlign w:val="center"/>
          </w:tcPr>
          <w:p>
            <w:pPr>
              <w:jc w:val="center"/>
              <w:rPr>
                <w:rFonts w:hint="eastAsia" w:ascii="宋体" w:hAnsi="宋体"/>
                <w:bCs/>
                <w:sz w:val="18"/>
                <w:szCs w:val="18"/>
                <w:lang w:eastAsia="zh-CN"/>
              </w:rPr>
            </w:pPr>
            <w:r>
              <w:rPr>
                <w:rFonts w:hint="eastAsia" w:ascii="宋体" w:hAnsi="宋体"/>
                <w:bCs/>
                <w:sz w:val="18"/>
                <w:szCs w:val="18"/>
                <w:lang w:eastAsia="zh-CN"/>
              </w:rPr>
              <w:t>中学数学</w:t>
            </w:r>
          </w:p>
        </w:tc>
        <w:tc>
          <w:tcPr>
            <w:tcW w:w="1134" w:type="dxa"/>
            <w:tcBorders>
              <w:left w:val="single" w:color="auto" w:sz="4" w:space="0"/>
            </w:tcBorders>
            <w:vAlign w:val="center"/>
          </w:tcPr>
          <w:p>
            <w:pPr>
              <w:jc w:val="center"/>
              <w:rPr>
                <w:rFonts w:hint="eastAsia" w:ascii="宋体" w:hAnsi="宋体"/>
                <w:bCs/>
                <w:sz w:val="18"/>
                <w:szCs w:val="18"/>
                <w:lang w:val="en-US" w:eastAsia="zh-CN"/>
              </w:rPr>
            </w:pPr>
            <w:r>
              <w:rPr>
                <w:rFonts w:hint="eastAsia" w:ascii="宋体" w:hAnsi="宋体"/>
                <w:bCs/>
                <w:sz w:val="18"/>
                <w:szCs w:val="18"/>
                <w:lang w:val="en-US" w:eastAsia="zh-CN"/>
              </w:rPr>
              <w:t>2803</w:t>
            </w:r>
          </w:p>
          <w:p>
            <w:pPr>
              <w:jc w:val="center"/>
              <w:rPr>
                <w:rFonts w:hint="eastAsia" w:ascii="宋体" w:hAnsi="宋体"/>
                <w:bCs/>
                <w:sz w:val="18"/>
                <w:szCs w:val="18"/>
                <w:lang w:val="en-US" w:eastAsia="zh-CN"/>
              </w:rPr>
            </w:pPr>
            <w:r>
              <w:rPr>
                <w:rFonts w:hint="eastAsia" w:ascii="宋体" w:hAnsi="宋体"/>
                <w:bCs/>
                <w:sz w:val="18"/>
                <w:szCs w:val="18"/>
                <w:lang w:val="en-US" w:eastAsia="zh-CN"/>
              </w:rPr>
              <w:t>2832</w:t>
            </w:r>
          </w:p>
        </w:tc>
        <w:tc>
          <w:tcPr>
            <w:tcW w:w="1134" w:type="dxa"/>
            <w:vMerge w:val="continue"/>
            <w:tcBorders>
              <w:right w:val="single" w:color="auto" w:sz="4" w:space="0"/>
            </w:tcBorders>
            <w:vAlign w:val="center"/>
          </w:tcPr>
          <w:p>
            <w:pPr>
              <w:jc w:val="center"/>
              <w:rPr>
                <w:rFonts w:hint="eastAsia" w:ascii="宋体" w:hAnsi="宋体"/>
                <w:bCs/>
                <w:sz w:val="18"/>
                <w:szCs w:val="18"/>
              </w:rPr>
            </w:pPr>
          </w:p>
        </w:tc>
        <w:tc>
          <w:tcPr>
            <w:tcW w:w="1560" w:type="dxa"/>
            <w:vMerge w:val="continue"/>
            <w:tcBorders>
              <w:right w:val="single" w:color="auto" w:sz="4" w:space="0"/>
            </w:tcBorders>
            <w:vAlign w:val="center"/>
          </w:tcPr>
          <w:p>
            <w:pPr>
              <w:jc w:val="center"/>
              <w:rPr>
                <w:rFonts w:hint="eastAsia" w:ascii="宋体" w:hAnsi="宋体"/>
                <w:bCs/>
                <w:sz w:val="18"/>
                <w:szCs w:val="18"/>
              </w:rPr>
            </w:pPr>
          </w:p>
        </w:tc>
        <w:tc>
          <w:tcPr>
            <w:tcW w:w="1134" w:type="dxa"/>
            <w:vMerge w:val="continue"/>
            <w:tcBorders>
              <w:left w:val="single" w:color="auto" w:sz="4" w:space="0"/>
              <w:right w:val="single" w:color="auto" w:sz="4" w:space="0"/>
            </w:tcBorders>
            <w:vAlign w:val="center"/>
          </w:tcPr>
          <w:p>
            <w:pPr>
              <w:jc w:val="center"/>
              <w:rPr>
                <w:rFonts w:hint="eastAsia" w:ascii="宋体" w:hAnsi="宋体"/>
                <w:bCs/>
                <w:sz w:val="18"/>
                <w:szCs w:val="18"/>
              </w:rPr>
            </w:pPr>
          </w:p>
        </w:tc>
        <w:tc>
          <w:tcPr>
            <w:tcW w:w="1530" w:type="dxa"/>
            <w:vMerge w:val="continue"/>
            <w:tcBorders>
              <w:left w:val="single" w:color="auto" w:sz="4" w:space="0"/>
            </w:tcBorders>
            <w:vAlign w:val="center"/>
          </w:tcPr>
          <w:p>
            <w:pPr>
              <w:jc w:val="center"/>
              <w:rPr>
                <w:rFonts w:hint="eastAsia"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701" w:type="dxa"/>
            <w:vAlign w:val="center"/>
          </w:tcPr>
          <w:p>
            <w:pPr>
              <w:jc w:val="center"/>
              <w:rPr>
                <w:rFonts w:hint="eastAsia" w:ascii="宋体" w:hAnsi="宋体"/>
                <w:bCs/>
                <w:sz w:val="18"/>
                <w:szCs w:val="18"/>
                <w:lang w:eastAsia="zh-CN"/>
              </w:rPr>
            </w:pPr>
            <w:r>
              <w:rPr>
                <w:rFonts w:hint="eastAsia" w:ascii="宋体" w:hAnsi="宋体"/>
                <w:bCs/>
                <w:sz w:val="18"/>
                <w:szCs w:val="18"/>
                <w:lang w:eastAsia="zh-CN"/>
              </w:rPr>
              <w:t>中学英语</w:t>
            </w:r>
          </w:p>
        </w:tc>
        <w:tc>
          <w:tcPr>
            <w:tcW w:w="1134" w:type="dxa"/>
            <w:tcBorders>
              <w:left w:val="single" w:color="auto" w:sz="4" w:space="0"/>
            </w:tcBorders>
            <w:vAlign w:val="center"/>
          </w:tcPr>
          <w:p>
            <w:pPr>
              <w:jc w:val="center"/>
              <w:rPr>
                <w:rFonts w:hint="eastAsia" w:ascii="宋体" w:hAnsi="宋体"/>
                <w:bCs/>
                <w:sz w:val="18"/>
                <w:szCs w:val="18"/>
                <w:lang w:val="en-US" w:eastAsia="zh-CN"/>
              </w:rPr>
            </w:pPr>
            <w:r>
              <w:rPr>
                <w:rFonts w:hint="eastAsia" w:ascii="宋体" w:hAnsi="宋体"/>
                <w:bCs/>
                <w:sz w:val="18"/>
                <w:szCs w:val="18"/>
                <w:lang w:val="en-US" w:eastAsia="zh-CN"/>
              </w:rPr>
              <w:t>2804</w:t>
            </w:r>
          </w:p>
          <w:p>
            <w:pPr>
              <w:jc w:val="center"/>
              <w:rPr>
                <w:rFonts w:hint="eastAsia" w:ascii="宋体" w:hAnsi="宋体"/>
                <w:bCs/>
                <w:sz w:val="18"/>
                <w:szCs w:val="18"/>
                <w:lang w:val="en-US" w:eastAsia="zh-CN"/>
              </w:rPr>
            </w:pPr>
            <w:r>
              <w:rPr>
                <w:rFonts w:hint="eastAsia" w:ascii="宋体" w:hAnsi="宋体"/>
                <w:bCs/>
                <w:sz w:val="18"/>
                <w:szCs w:val="18"/>
                <w:lang w:val="en-US" w:eastAsia="zh-CN"/>
              </w:rPr>
              <w:t>2833</w:t>
            </w:r>
          </w:p>
        </w:tc>
        <w:tc>
          <w:tcPr>
            <w:tcW w:w="1134" w:type="dxa"/>
            <w:vMerge w:val="continue"/>
            <w:tcBorders>
              <w:bottom w:val="single" w:color="auto" w:sz="4" w:space="0"/>
              <w:right w:val="single" w:color="auto" w:sz="4" w:space="0"/>
            </w:tcBorders>
            <w:vAlign w:val="center"/>
          </w:tcPr>
          <w:p>
            <w:pPr>
              <w:jc w:val="center"/>
              <w:rPr>
                <w:rFonts w:hint="eastAsia" w:ascii="宋体" w:hAnsi="宋体"/>
                <w:bCs/>
                <w:sz w:val="18"/>
                <w:szCs w:val="18"/>
              </w:rPr>
            </w:pPr>
          </w:p>
        </w:tc>
        <w:tc>
          <w:tcPr>
            <w:tcW w:w="1560" w:type="dxa"/>
            <w:vMerge w:val="continue"/>
            <w:tcBorders>
              <w:right w:val="single" w:color="auto" w:sz="4" w:space="0"/>
            </w:tcBorders>
            <w:vAlign w:val="center"/>
          </w:tcPr>
          <w:p>
            <w:pPr>
              <w:jc w:val="center"/>
              <w:rPr>
                <w:rFonts w:hint="eastAsia" w:ascii="宋体" w:hAnsi="宋体"/>
                <w:bCs/>
                <w:sz w:val="18"/>
                <w:szCs w:val="18"/>
              </w:rPr>
            </w:pPr>
          </w:p>
        </w:tc>
        <w:tc>
          <w:tcPr>
            <w:tcW w:w="1134" w:type="dxa"/>
            <w:vMerge w:val="continue"/>
            <w:tcBorders>
              <w:left w:val="single" w:color="auto" w:sz="4" w:space="0"/>
              <w:right w:val="single" w:color="auto" w:sz="4" w:space="0"/>
            </w:tcBorders>
            <w:vAlign w:val="center"/>
          </w:tcPr>
          <w:p>
            <w:pPr>
              <w:jc w:val="center"/>
              <w:rPr>
                <w:rFonts w:hint="eastAsia" w:ascii="宋体" w:hAnsi="宋体"/>
                <w:bCs/>
                <w:sz w:val="18"/>
                <w:szCs w:val="18"/>
              </w:rPr>
            </w:pPr>
          </w:p>
        </w:tc>
        <w:tc>
          <w:tcPr>
            <w:tcW w:w="1530" w:type="dxa"/>
            <w:vMerge w:val="continue"/>
            <w:tcBorders>
              <w:left w:val="single" w:color="auto" w:sz="4" w:space="0"/>
            </w:tcBorders>
            <w:vAlign w:val="center"/>
          </w:tcPr>
          <w:p>
            <w:pPr>
              <w:jc w:val="center"/>
              <w:rPr>
                <w:rFonts w:hint="eastAsia"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701" w:type="dxa"/>
            <w:vAlign w:val="center"/>
          </w:tcPr>
          <w:p>
            <w:pPr>
              <w:jc w:val="center"/>
              <w:rPr>
                <w:rFonts w:hint="eastAsia" w:ascii="宋体" w:hAnsi="宋体"/>
                <w:bCs/>
                <w:sz w:val="18"/>
                <w:szCs w:val="18"/>
                <w:lang w:val="en-US" w:eastAsia="zh-CN"/>
              </w:rPr>
            </w:pPr>
            <w:r>
              <w:rPr>
                <w:rFonts w:hint="eastAsia" w:ascii="宋体" w:hAnsi="宋体"/>
                <w:bCs/>
                <w:sz w:val="18"/>
                <w:szCs w:val="18"/>
                <w:lang w:eastAsia="zh-CN"/>
              </w:rPr>
              <w:t>中学语文</w:t>
            </w:r>
            <w:r>
              <w:rPr>
                <w:rFonts w:hint="eastAsia" w:ascii="宋体" w:hAnsi="宋体"/>
                <w:bCs/>
                <w:sz w:val="18"/>
                <w:szCs w:val="18"/>
                <w:lang w:val="en-US" w:eastAsia="zh-CN"/>
              </w:rPr>
              <w:t>B</w:t>
            </w:r>
          </w:p>
        </w:tc>
        <w:tc>
          <w:tcPr>
            <w:tcW w:w="1134" w:type="dxa"/>
            <w:tcBorders>
              <w:left w:val="single" w:color="auto" w:sz="4" w:space="0"/>
            </w:tcBorders>
            <w:vAlign w:val="center"/>
          </w:tcPr>
          <w:p>
            <w:pPr>
              <w:jc w:val="center"/>
              <w:rPr>
                <w:rFonts w:hint="eastAsia" w:ascii="宋体" w:hAnsi="宋体"/>
                <w:bCs/>
                <w:sz w:val="18"/>
                <w:szCs w:val="18"/>
                <w:lang w:val="en-US" w:eastAsia="zh-CN"/>
              </w:rPr>
            </w:pPr>
            <w:r>
              <w:rPr>
                <w:rFonts w:hint="eastAsia" w:ascii="宋体" w:hAnsi="宋体"/>
                <w:bCs/>
                <w:sz w:val="18"/>
                <w:szCs w:val="18"/>
                <w:lang w:val="en-US" w:eastAsia="zh-CN"/>
              </w:rPr>
              <w:t>2802</w:t>
            </w:r>
          </w:p>
        </w:tc>
        <w:tc>
          <w:tcPr>
            <w:tcW w:w="1134" w:type="dxa"/>
            <w:tcBorders>
              <w:right w:val="single" w:color="auto" w:sz="4" w:space="0"/>
            </w:tcBorders>
            <w:vAlign w:val="center"/>
          </w:tcPr>
          <w:p>
            <w:pPr>
              <w:jc w:val="center"/>
              <w:rPr>
                <w:rFonts w:hint="eastAsia" w:ascii="宋体" w:hAnsi="宋体"/>
                <w:bCs/>
                <w:sz w:val="18"/>
                <w:szCs w:val="18"/>
                <w:lang w:eastAsia="zh-CN"/>
              </w:rPr>
            </w:pPr>
            <w:r>
              <w:rPr>
                <w:rFonts w:hint="eastAsia" w:ascii="宋体" w:hAnsi="宋体"/>
                <w:bCs/>
                <w:sz w:val="18"/>
                <w:szCs w:val="18"/>
                <w:lang w:eastAsia="zh-CN"/>
              </w:rPr>
              <w:t>面试</w:t>
            </w:r>
          </w:p>
          <w:p>
            <w:pPr>
              <w:jc w:val="center"/>
              <w:rPr>
                <w:rFonts w:hint="eastAsia" w:ascii="宋体" w:hAnsi="宋体"/>
                <w:bCs/>
                <w:sz w:val="18"/>
                <w:szCs w:val="18"/>
                <w:lang w:eastAsia="zh-CN"/>
              </w:rPr>
            </w:pPr>
            <w:r>
              <w:rPr>
                <w:rFonts w:hint="eastAsia" w:ascii="宋体" w:hAnsi="宋体"/>
                <w:bCs/>
                <w:sz w:val="18"/>
                <w:szCs w:val="18"/>
                <w:lang w:eastAsia="zh-CN"/>
              </w:rPr>
              <w:t>公文写作</w:t>
            </w:r>
          </w:p>
        </w:tc>
        <w:tc>
          <w:tcPr>
            <w:tcW w:w="1560" w:type="dxa"/>
            <w:vMerge w:val="continue"/>
            <w:tcBorders>
              <w:right w:val="single" w:color="auto" w:sz="4" w:space="0"/>
            </w:tcBorders>
            <w:vAlign w:val="center"/>
          </w:tcPr>
          <w:p>
            <w:pPr>
              <w:jc w:val="center"/>
              <w:rPr>
                <w:rFonts w:hint="eastAsia" w:ascii="宋体" w:hAnsi="宋体"/>
                <w:bCs/>
                <w:sz w:val="18"/>
                <w:szCs w:val="18"/>
              </w:rPr>
            </w:pPr>
          </w:p>
        </w:tc>
        <w:tc>
          <w:tcPr>
            <w:tcW w:w="1134" w:type="dxa"/>
            <w:vMerge w:val="continue"/>
            <w:tcBorders>
              <w:left w:val="single" w:color="auto" w:sz="4" w:space="0"/>
              <w:right w:val="single" w:color="auto" w:sz="4" w:space="0"/>
            </w:tcBorders>
            <w:vAlign w:val="center"/>
          </w:tcPr>
          <w:p>
            <w:pPr>
              <w:jc w:val="center"/>
              <w:rPr>
                <w:rFonts w:hint="eastAsia" w:ascii="宋体" w:hAnsi="宋体"/>
                <w:bCs/>
                <w:sz w:val="18"/>
                <w:szCs w:val="18"/>
              </w:rPr>
            </w:pPr>
          </w:p>
        </w:tc>
        <w:tc>
          <w:tcPr>
            <w:tcW w:w="1530" w:type="dxa"/>
            <w:vMerge w:val="continue"/>
            <w:tcBorders>
              <w:left w:val="single" w:color="auto" w:sz="4" w:space="0"/>
            </w:tcBorders>
            <w:vAlign w:val="center"/>
          </w:tcPr>
          <w:p>
            <w:pPr>
              <w:jc w:val="center"/>
              <w:rPr>
                <w:rFonts w:hint="eastAsia"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701" w:type="dxa"/>
            <w:vAlign w:val="center"/>
          </w:tcPr>
          <w:p>
            <w:pPr>
              <w:jc w:val="center"/>
              <w:rPr>
                <w:rFonts w:hint="eastAsia" w:ascii="宋体" w:hAnsi="宋体"/>
                <w:bCs/>
                <w:sz w:val="18"/>
                <w:szCs w:val="18"/>
                <w:lang w:eastAsia="zh-CN"/>
              </w:rPr>
            </w:pPr>
            <w:r>
              <w:rPr>
                <w:rFonts w:hint="eastAsia" w:ascii="宋体" w:hAnsi="宋体"/>
                <w:bCs/>
                <w:sz w:val="18"/>
                <w:szCs w:val="18"/>
                <w:lang w:eastAsia="zh-CN"/>
              </w:rPr>
              <w:t>音乐</w:t>
            </w:r>
          </w:p>
          <w:p>
            <w:pPr>
              <w:jc w:val="center"/>
              <w:rPr>
                <w:rFonts w:hint="eastAsia" w:ascii="宋体" w:hAnsi="宋体"/>
                <w:bCs/>
                <w:sz w:val="18"/>
                <w:szCs w:val="18"/>
                <w:lang w:val="en-US" w:eastAsia="zh-CN"/>
              </w:rPr>
            </w:pPr>
            <w:r>
              <w:rPr>
                <w:rFonts w:hint="eastAsia" w:ascii="宋体" w:hAnsi="宋体"/>
                <w:bCs/>
                <w:sz w:val="18"/>
                <w:szCs w:val="18"/>
                <w:lang w:val="en-US" w:eastAsia="zh-CN"/>
              </w:rPr>
              <w:t>体育</w:t>
            </w:r>
          </w:p>
          <w:p>
            <w:pPr>
              <w:jc w:val="center"/>
              <w:rPr>
                <w:rFonts w:hint="eastAsia" w:ascii="宋体" w:hAnsi="宋体"/>
                <w:bCs/>
                <w:sz w:val="18"/>
                <w:szCs w:val="18"/>
                <w:lang w:val="en-US" w:eastAsia="zh-CN"/>
              </w:rPr>
            </w:pPr>
            <w:r>
              <w:rPr>
                <w:rFonts w:hint="eastAsia" w:ascii="宋体" w:hAnsi="宋体"/>
                <w:bCs/>
                <w:sz w:val="18"/>
                <w:szCs w:val="18"/>
                <w:lang w:val="en-US" w:eastAsia="zh-CN"/>
              </w:rPr>
              <w:t>美术</w:t>
            </w:r>
          </w:p>
        </w:tc>
        <w:tc>
          <w:tcPr>
            <w:tcW w:w="1134" w:type="dxa"/>
            <w:tcBorders>
              <w:left w:val="single" w:color="auto" w:sz="4" w:space="0"/>
            </w:tcBorders>
            <w:vAlign w:val="center"/>
          </w:tcPr>
          <w:p>
            <w:pPr>
              <w:jc w:val="center"/>
              <w:rPr>
                <w:rFonts w:hint="eastAsia" w:ascii="宋体" w:hAnsi="宋体"/>
                <w:bCs/>
                <w:sz w:val="18"/>
                <w:szCs w:val="18"/>
              </w:rPr>
            </w:pPr>
            <w:r>
              <w:rPr>
                <w:rFonts w:hint="eastAsia" w:ascii="宋体" w:hAnsi="宋体"/>
                <w:bCs/>
                <w:sz w:val="18"/>
                <w:szCs w:val="18"/>
              </w:rPr>
              <w:t>28</w:t>
            </w:r>
            <w:r>
              <w:rPr>
                <w:rFonts w:hint="eastAsia" w:ascii="宋体" w:hAnsi="宋体"/>
                <w:bCs/>
                <w:sz w:val="18"/>
                <w:szCs w:val="18"/>
                <w:lang w:val="en-US" w:eastAsia="zh-CN"/>
              </w:rPr>
              <w:t>3</w:t>
            </w:r>
            <w:r>
              <w:rPr>
                <w:rFonts w:hint="eastAsia" w:ascii="宋体" w:hAnsi="宋体"/>
                <w:bCs/>
                <w:sz w:val="18"/>
                <w:szCs w:val="18"/>
              </w:rPr>
              <w:t>5</w:t>
            </w:r>
          </w:p>
          <w:p>
            <w:pPr>
              <w:jc w:val="center"/>
              <w:rPr>
                <w:rFonts w:hint="eastAsia" w:ascii="宋体" w:hAnsi="宋体"/>
                <w:bCs/>
                <w:sz w:val="18"/>
                <w:szCs w:val="18"/>
              </w:rPr>
            </w:pPr>
            <w:r>
              <w:rPr>
                <w:rFonts w:hint="eastAsia" w:ascii="宋体" w:hAnsi="宋体"/>
                <w:bCs/>
                <w:sz w:val="18"/>
                <w:szCs w:val="18"/>
              </w:rPr>
              <w:t>28</w:t>
            </w:r>
            <w:r>
              <w:rPr>
                <w:rFonts w:hint="eastAsia" w:ascii="宋体" w:hAnsi="宋体"/>
                <w:bCs/>
                <w:sz w:val="18"/>
                <w:szCs w:val="18"/>
                <w:lang w:val="en-US" w:eastAsia="zh-CN"/>
              </w:rPr>
              <w:t>0</w:t>
            </w:r>
            <w:r>
              <w:rPr>
                <w:rFonts w:hint="eastAsia" w:ascii="宋体" w:hAnsi="宋体"/>
                <w:bCs/>
                <w:sz w:val="18"/>
                <w:szCs w:val="18"/>
              </w:rPr>
              <w:t>5</w:t>
            </w:r>
          </w:p>
          <w:p>
            <w:pPr>
              <w:jc w:val="center"/>
              <w:rPr>
                <w:rFonts w:hint="eastAsia" w:ascii="宋体" w:hAnsi="宋体"/>
                <w:bCs/>
                <w:sz w:val="18"/>
                <w:szCs w:val="18"/>
                <w:lang w:val="en-US" w:eastAsia="zh-CN"/>
              </w:rPr>
            </w:pPr>
            <w:r>
              <w:rPr>
                <w:rFonts w:hint="eastAsia" w:ascii="宋体" w:hAnsi="宋体"/>
                <w:bCs/>
                <w:sz w:val="18"/>
                <w:szCs w:val="18"/>
              </w:rPr>
              <w:t>2810</w:t>
            </w:r>
          </w:p>
        </w:tc>
        <w:tc>
          <w:tcPr>
            <w:tcW w:w="1134" w:type="dxa"/>
            <w:tcBorders>
              <w:right w:val="single" w:color="auto" w:sz="4" w:space="0"/>
            </w:tcBorders>
            <w:vAlign w:val="center"/>
          </w:tcPr>
          <w:p>
            <w:pPr>
              <w:jc w:val="center"/>
              <w:rPr>
                <w:rFonts w:hint="eastAsia" w:ascii="宋体" w:hAnsi="宋体"/>
                <w:bCs/>
                <w:sz w:val="18"/>
                <w:szCs w:val="18"/>
              </w:rPr>
            </w:pPr>
            <w:r>
              <w:rPr>
                <w:rFonts w:hint="eastAsia" w:ascii="宋体" w:hAnsi="宋体"/>
                <w:bCs/>
                <w:sz w:val="18"/>
                <w:szCs w:val="18"/>
              </w:rPr>
              <w:t>面试</w:t>
            </w:r>
          </w:p>
          <w:p>
            <w:pPr>
              <w:jc w:val="center"/>
              <w:rPr>
                <w:rFonts w:hint="eastAsia" w:ascii="宋体" w:hAnsi="宋体"/>
                <w:bCs/>
                <w:sz w:val="18"/>
                <w:szCs w:val="18"/>
              </w:rPr>
            </w:pPr>
            <w:r>
              <w:rPr>
                <w:rFonts w:hint="eastAsia" w:ascii="宋体" w:hAnsi="宋体"/>
                <w:bCs/>
                <w:sz w:val="18"/>
                <w:szCs w:val="18"/>
              </w:rPr>
              <w:t>才艺展示</w:t>
            </w:r>
          </w:p>
        </w:tc>
        <w:tc>
          <w:tcPr>
            <w:tcW w:w="1560" w:type="dxa"/>
            <w:vMerge w:val="continue"/>
            <w:tcBorders>
              <w:right w:val="single" w:color="auto" w:sz="4" w:space="0"/>
            </w:tcBorders>
            <w:vAlign w:val="center"/>
          </w:tcPr>
          <w:p>
            <w:pPr>
              <w:jc w:val="center"/>
              <w:rPr>
                <w:rFonts w:hint="eastAsia" w:ascii="宋体" w:hAnsi="宋体"/>
                <w:bCs/>
                <w:sz w:val="18"/>
                <w:szCs w:val="18"/>
              </w:rPr>
            </w:pPr>
          </w:p>
        </w:tc>
        <w:tc>
          <w:tcPr>
            <w:tcW w:w="1134" w:type="dxa"/>
            <w:vMerge w:val="continue"/>
            <w:tcBorders>
              <w:left w:val="single" w:color="auto" w:sz="4" w:space="0"/>
              <w:right w:val="single" w:color="auto" w:sz="4" w:space="0"/>
            </w:tcBorders>
            <w:vAlign w:val="center"/>
          </w:tcPr>
          <w:p>
            <w:pPr>
              <w:jc w:val="center"/>
              <w:rPr>
                <w:rFonts w:hint="eastAsia" w:ascii="宋体" w:hAnsi="宋体"/>
                <w:bCs/>
                <w:sz w:val="18"/>
                <w:szCs w:val="18"/>
              </w:rPr>
            </w:pPr>
          </w:p>
        </w:tc>
        <w:tc>
          <w:tcPr>
            <w:tcW w:w="1530" w:type="dxa"/>
            <w:vMerge w:val="continue"/>
            <w:tcBorders>
              <w:left w:val="single" w:color="auto" w:sz="4" w:space="0"/>
            </w:tcBorders>
            <w:vAlign w:val="center"/>
          </w:tcPr>
          <w:p>
            <w:pPr>
              <w:jc w:val="center"/>
              <w:rPr>
                <w:rFonts w:hint="eastAsia" w:ascii="宋体" w:hAnsi="宋体"/>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1701" w:type="dxa"/>
            <w:vAlign w:val="center"/>
          </w:tcPr>
          <w:p>
            <w:pPr>
              <w:jc w:val="center"/>
              <w:rPr>
                <w:rFonts w:hint="eastAsia" w:ascii="宋体" w:hAnsi="宋体"/>
                <w:bCs/>
                <w:sz w:val="18"/>
                <w:szCs w:val="18"/>
              </w:rPr>
            </w:pPr>
            <w:r>
              <w:rPr>
                <w:rFonts w:hint="eastAsia" w:ascii="宋体" w:hAnsi="宋体"/>
                <w:bCs/>
                <w:sz w:val="18"/>
                <w:szCs w:val="18"/>
              </w:rPr>
              <w:t>计算机科学与技术</w:t>
            </w:r>
          </w:p>
          <w:p>
            <w:pPr>
              <w:jc w:val="center"/>
              <w:rPr>
                <w:rFonts w:hint="eastAsia" w:ascii="宋体" w:hAnsi="宋体"/>
                <w:bCs/>
                <w:sz w:val="18"/>
                <w:szCs w:val="18"/>
              </w:rPr>
            </w:pPr>
            <w:r>
              <w:rPr>
                <w:rFonts w:hint="eastAsia" w:ascii="宋体" w:hAnsi="宋体"/>
                <w:bCs/>
                <w:sz w:val="18"/>
                <w:szCs w:val="18"/>
              </w:rPr>
              <w:t>财务会计</w:t>
            </w:r>
          </w:p>
          <w:p>
            <w:pPr>
              <w:jc w:val="center"/>
              <w:rPr>
                <w:rFonts w:hint="eastAsia" w:ascii="宋体" w:hAnsi="宋体"/>
                <w:bCs/>
                <w:sz w:val="18"/>
                <w:szCs w:val="18"/>
                <w:lang w:eastAsia="zh-CN"/>
              </w:rPr>
            </w:pPr>
            <w:r>
              <w:rPr>
                <w:rFonts w:hint="eastAsia" w:ascii="宋体" w:hAnsi="宋体"/>
                <w:bCs/>
                <w:sz w:val="18"/>
                <w:szCs w:val="18"/>
              </w:rPr>
              <w:t>酒店管理</w:t>
            </w:r>
          </w:p>
        </w:tc>
        <w:tc>
          <w:tcPr>
            <w:tcW w:w="1134" w:type="dxa"/>
            <w:tcBorders>
              <w:left w:val="single" w:color="auto" w:sz="4" w:space="0"/>
            </w:tcBorders>
            <w:vAlign w:val="center"/>
          </w:tcPr>
          <w:p>
            <w:pPr>
              <w:jc w:val="center"/>
              <w:rPr>
                <w:rFonts w:hint="eastAsia" w:ascii="宋体" w:hAnsi="宋体"/>
                <w:bCs/>
                <w:sz w:val="18"/>
                <w:szCs w:val="18"/>
                <w:lang w:val="en-US" w:eastAsia="zh-CN"/>
              </w:rPr>
            </w:pPr>
            <w:r>
              <w:rPr>
                <w:rFonts w:hint="eastAsia" w:ascii="宋体" w:hAnsi="宋体"/>
                <w:bCs/>
                <w:sz w:val="18"/>
                <w:szCs w:val="18"/>
                <w:lang w:val="en-US" w:eastAsia="zh-CN"/>
              </w:rPr>
              <w:t>2806</w:t>
            </w:r>
          </w:p>
          <w:p>
            <w:pPr>
              <w:jc w:val="center"/>
              <w:rPr>
                <w:rFonts w:hint="eastAsia" w:ascii="宋体" w:hAnsi="宋体"/>
                <w:bCs/>
                <w:sz w:val="18"/>
                <w:szCs w:val="18"/>
                <w:lang w:val="en-US" w:eastAsia="zh-CN"/>
              </w:rPr>
            </w:pPr>
            <w:r>
              <w:rPr>
                <w:rFonts w:hint="eastAsia" w:ascii="宋体" w:hAnsi="宋体"/>
                <w:bCs/>
                <w:sz w:val="18"/>
                <w:szCs w:val="18"/>
                <w:lang w:val="en-US" w:eastAsia="zh-CN"/>
              </w:rPr>
              <w:t>2811</w:t>
            </w:r>
          </w:p>
          <w:p>
            <w:pPr>
              <w:jc w:val="center"/>
              <w:rPr>
                <w:rFonts w:hint="eastAsia" w:ascii="宋体" w:hAnsi="宋体"/>
                <w:bCs/>
                <w:sz w:val="18"/>
                <w:szCs w:val="18"/>
                <w:lang w:val="en-US" w:eastAsia="zh-CN"/>
              </w:rPr>
            </w:pPr>
            <w:r>
              <w:rPr>
                <w:rFonts w:hint="eastAsia" w:ascii="宋体" w:hAnsi="宋体"/>
                <w:bCs/>
                <w:sz w:val="18"/>
                <w:szCs w:val="18"/>
                <w:lang w:val="en-US" w:eastAsia="zh-CN"/>
              </w:rPr>
              <w:t>2836</w:t>
            </w:r>
          </w:p>
        </w:tc>
        <w:tc>
          <w:tcPr>
            <w:tcW w:w="1134" w:type="dxa"/>
            <w:tcBorders>
              <w:right w:val="single" w:color="auto" w:sz="4" w:space="0"/>
            </w:tcBorders>
            <w:vAlign w:val="center"/>
          </w:tcPr>
          <w:p>
            <w:pPr>
              <w:jc w:val="center"/>
              <w:rPr>
                <w:rFonts w:hint="eastAsia" w:ascii="宋体" w:hAnsi="宋体"/>
                <w:bCs/>
                <w:sz w:val="18"/>
                <w:szCs w:val="18"/>
              </w:rPr>
            </w:pPr>
            <w:r>
              <w:rPr>
                <w:rFonts w:hint="eastAsia" w:ascii="宋体" w:hAnsi="宋体"/>
                <w:bCs/>
                <w:sz w:val="18"/>
                <w:szCs w:val="18"/>
              </w:rPr>
              <w:t>面试</w:t>
            </w:r>
          </w:p>
          <w:p>
            <w:pPr>
              <w:jc w:val="center"/>
              <w:rPr>
                <w:rFonts w:hint="eastAsia" w:ascii="宋体" w:hAnsi="宋体"/>
                <w:bCs/>
                <w:sz w:val="18"/>
                <w:szCs w:val="18"/>
              </w:rPr>
            </w:pPr>
            <w:r>
              <w:rPr>
                <w:rFonts w:hint="eastAsia" w:ascii="宋体" w:hAnsi="宋体"/>
                <w:bCs/>
                <w:sz w:val="18"/>
                <w:szCs w:val="18"/>
              </w:rPr>
              <w:t>技能展示</w:t>
            </w:r>
          </w:p>
        </w:tc>
        <w:tc>
          <w:tcPr>
            <w:tcW w:w="1560" w:type="dxa"/>
            <w:vMerge w:val="continue"/>
            <w:tcBorders>
              <w:right w:val="single" w:color="auto" w:sz="4" w:space="0"/>
            </w:tcBorders>
            <w:vAlign w:val="center"/>
          </w:tcPr>
          <w:p>
            <w:pPr>
              <w:jc w:val="center"/>
              <w:rPr>
                <w:rFonts w:hint="eastAsia" w:ascii="宋体" w:hAnsi="宋体"/>
                <w:bCs/>
                <w:sz w:val="18"/>
                <w:szCs w:val="18"/>
              </w:rPr>
            </w:pPr>
          </w:p>
        </w:tc>
        <w:tc>
          <w:tcPr>
            <w:tcW w:w="1134" w:type="dxa"/>
            <w:vMerge w:val="continue"/>
            <w:tcBorders>
              <w:left w:val="single" w:color="auto" w:sz="4" w:space="0"/>
              <w:right w:val="single" w:color="auto" w:sz="4" w:space="0"/>
            </w:tcBorders>
            <w:vAlign w:val="center"/>
          </w:tcPr>
          <w:p>
            <w:pPr>
              <w:jc w:val="center"/>
              <w:rPr>
                <w:rFonts w:hint="eastAsia" w:ascii="宋体" w:hAnsi="宋体"/>
                <w:bCs/>
                <w:sz w:val="18"/>
                <w:szCs w:val="18"/>
              </w:rPr>
            </w:pPr>
          </w:p>
        </w:tc>
        <w:tc>
          <w:tcPr>
            <w:tcW w:w="1530" w:type="dxa"/>
            <w:vMerge w:val="continue"/>
            <w:tcBorders>
              <w:left w:val="single" w:color="auto" w:sz="4" w:space="0"/>
            </w:tcBorders>
            <w:vAlign w:val="center"/>
          </w:tcPr>
          <w:p>
            <w:pPr>
              <w:jc w:val="center"/>
              <w:rPr>
                <w:rFonts w:hint="eastAsia" w:ascii="宋体" w:hAnsi="宋体"/>
                <w:bCs/>
                <w:sz w:val="18"/>
                <w:szCs w:val="18"/>
              </w:rPr>
            </w:pPr>
          </w:p>
        </w:tc>
      </w:tr>
    </w:tbl>
    <w:p>
      <w:pPr>
        <w:widowControl/>
        <w:tabs>
          <w:tab w:val="left" w:pos="7920"/>
        </w:tabs>
        <w:adjustRightInd w:val="0"/>
        <w:snapToGrid w:val="0"/>
        <w:spacing w:line="360" w:lineRule="auto"/>
        <w:jc w:val="left"/>
      </w:pPr>
    </w:p>
    <w:p>
      <w:pPr>
        <w:widowControl/>
        <w:tabs>
          <w:tab w:val="left" w:pos="7920"/>
        </w:tabs>
        <w:adjustRightInd w:val="0"/>
        <w:snapToGrid w:val="0"/>
        <w:spacing w:line="360" w:lineRule="auto"/>
        <w:ind w:firstLine="420" w:firstLineChars="200"/>
        <w:jc w:val="left"/>
        <w:rPr>
          <w:rFonts w:ascii="楷体" w:hAnsi="楷体" w:eastAsia="楷体"/>
          <w:kern w:val="0"/>
          <w:sz w:val="28"/>
          <w:szCs w:val="28"/>
        </w:rPr>
      </w:pPr>
      <w:r>
        <w:rPr>
          <w:rFonts w:hint="eastAsia"/>
        </w:rPr>
        <w:t>2、</w:t>
      </w:r>
      <w:r>
        <w:rPr>
          <w:rFonts w:hint="eastAsia"/>
          <w:lang w:eastAsia="zh-CN"/>
        </w:rPr>
        <w:t>当</w:t>
      </w:r>
      <w:r>
        <w:rPr>
          <w:rFonts w:hint="eastAsia"/>
          <w:color w:val="auto"/>
          <w:u w:val="none"/>
        </w:rPr>
        <w:t>招聘岗位的报名人数</w:t>
      </w:r>
      <w:r>
        <w:rPr>
          <w:rFonts w:hint="eastAsia"/>
          <w:color w:val="auto"/>
          <w:u w:val="none"/>
          <w:lang w:eastAsia="zh-CN"/>
        </w:rPr>
        <w:t>与招聘岗位数的比例高于</w:t>
      </w:r>
      <w:r>
        <w:rPr>
          <w:rFonts w:hint="eastAsia"/>
          <w:color w:val="auto"/>
          <w:u w:val="none"/>
          <w:lang w:val="en-US" w:eastAsia="zh-CN"/>
        </w:rPr>
        <w:t>15:1时</w:t>
      </w:r>
      <w:r>
        <w:rPr>
          <w:rFonts w:hint="eastAsia"/>
          <w:color w:val="auto"/>
          <w:u w:val="none"/>
        </w:rPr>
        <w:t>，</w:t>
      </w:r>
      <w:r>
        <w:rPr>
          <w:rFonts w:hint="eastAsia"/>
          <w:lang w:eastAsia="zh-CN"/>
        </w:rPr>
        <w:t>报考人员需</w:t>
      </w:r>
      <w:r>
        <w:rPr>
          <w:rFonts w:hint="eastAsia"/>
        </w:rPr>
        <w:t>于3月9日</w:t>
      </w:r>
      <w:r>
        <w:rPr>
          <w:rFonts w:hint="eastAsia"/>
          <w:lang w:eastAsia="zh-CN"/>
        </w:rPr>
        <w:t>（星期六</w:t>
      </w:r>
      <w:r>
        <w:rPr>
          <w:rFonts w:hint="eastAsia"/>
        </w:rPr>
        <w:t>）上午</w:t>
      </w:r>
      <w:r>
        <w:rPr>
          <w:rFonts w:hint="eastAsia"/>
          <w:lang w:eastAsia="zh-CN"/>
        </w:rPr>
        <w:t>参加</w:t>
      </w:r>
      <w:r>
        <w:rPr>
          <w:rFonts w:hint="eastAsia"/>
        </w:rPr>
        <w:t>知识测验</w:t>
      </w:r>
      <w:r>
        <w:rPr>
          <w:rFonts w:hint="eastAsia"/>
          <w:lang w:eastAsia="zh-CN"/>
        </w:rPr>
        <w:t>，</w:t>
      </w:r>
      <w:r>
        <w:rPr>
          <w:rFonts w:hint="eastAsia"/>
        </w:rPr>
        <w:t>具体安排如下：</w:t>
      </w:r>
    </w:p>
    <w:p>
      <w:pPr>
        <w:adjustRightInd w:val="0"/>
        <w:snapToGrid w:val="0"/>
        <w:spacing w:line="360" w:lineRule="auto"/>
        <w:ind w:firstLine="420"/>
        <w:rPr>
          <w:color w:val="auto"/>
          <w:u w:val="none"/>
        </w:rPr>
      </w:pPr>
      <w:r>
        <w:rPr>
          <w:rFonts w:hint="eastAsia"/>
          <w:color w:val="auto"/>
          <w:u w:val="none"/>
        </w:rPr>
        <w:t>(1)知识测验内容为专业知识，满分100分，时长60分钟。开考时间为8∶30，开考后15分钟不得进入考室。</w:t>
      </w:r>
      <w:r>
        <w:rPr>
          <w:rFonts w:hint="eastAsia"/>
          <w:color w:val="auto"/>
          <w:u w:val="none"/>
          <w:lang w:eastAsia="zh-CN"/>
        </w:rPr>
        <w:t>考室和座位号于</w:t>
      </w:r>
      <w:r>
        <w:rPr>
          <w:rFonts w:hint="eastAsia"/>
          <w:color w:val="auto"/>
          <w:u w:val="none"/>
          <w:lang w:val="en-US" w:eastAsia="zh-CN"/>
        </w:rPr>
        <w:t>3月8日（星期五）前在学校网站公布。</w:t>
      </w:r>
      <w:r>
        <w:rPr>
          <w:rFonts w:hint="eastAsia"/>
          <w:color w:val="auto"/>
          <w:u w:val="none"/>
        </w:rPr>
        <w:t>知识测验成绩于当天14:00左右在学校网站公布，对知识测验成绩有异议者于3月9日16∶00前到学校职教城校区慎勤楼办公室304提交核分申请，18∶00</w:t>
      </w:r>
      <w:r>
        <w:rPr>
          <w:rFonts w:hint="eastAsia"/>
          <w:color w:val="auto"/>
          <w:u w:val="none"/>
          <w:lang w:eastAsia="zh-CN"/>
        </w:rPr>
        <w:t>左右</w:t>
      </w:r>
      <w:r>
        <w:rPr>
          <w:rFonts w:hint="eastAsia"/>
          <w:color w:val="auto"/>
          <w:u w:val="none"/>
        </w:rPr>
        <w:t>在学校网站公布核分</w:t>
      </w:r>
      <w:r>
        <w:rPr>
          <w:rFonts w:hint="eastAsia"/>
          <w:color w:val="auto"/>
          <w:u w:val="none"/>
          <w:lang w:eastAsia="zh-CN"/>
        </w:rPr>
        <w:t>结果</w:t>
      </w:r>
      <w:r>
        <w:rPr>
          <w:rFonts w:hint="eastAsia"/>
          <w:color w:val="auto"/>
          <w:u w:val="none"/>
        </w:rPr>
        <w:t>。</w:t>
      </w:r>
    </w:p>
    <w:p>
      <w:pPr>
        <w:adjustRightInd w:val="0"/>
        <w:snapToGrid w:val="0"/>
        <w:spacing w:line="360" w:lineRule="auto"/>
        <w:ind w:firstLine="420"/>
        <w:rPr>
          <w:rFonts w:hint="eastAsia"/>
          <w:b/>
          <w:bCs/>
        </w:rPr>
      </w:pPr>
      <w:r>
        <w:rPr>
          <w:rFonts w:hint="eastAsia"/>
          <w:color w:val="auto"/>
          <w:u w:val="none"/>
        </w:rPr>
        <w:t>(2)</w:t>
      </w:r>
      <w:r>
        <w:rPr>
          <w:rFonts w:hint="eastAsia"/>
          <w:color w:val="auto"/>
          <w:u w:val="none"/>
          <w:lang w:val="en-US" w:eastAsia="zh-CN"/>
        </w:rPr>
        <w:t>按知识测验成绩确定入围面试和片段教学（</w:t>
      </w:r>
      <w:r>
        <w:rPr>
          <w:rFonts w:hint="eastAsia"/>
          <w:color w:val="auto"/>
          <w:u w:val="none"/>
        </w:rPr>
        <w:t>才艺展示或技能展示</w:t>
      </w:r>
      <w:r>
        <w:rPr>
          <w:rFonts w:hint="eastAsia"/>
          <w:color w:val="auto"/>
          <w:u w:val="none"/>
          <w:lang w:val="en-US" w:eastAsia="zh-CN"/>
        </w:rPr>
        <w:t>）人选</w:t>
      </w:r>
      <w:r>
        <w:rPr>
          <w:rFonts w:hint="eastAsia"/>
          <w:color w:val="auto"/>
          <w:u w:val="none"/>
        </w:rPr>
        <w:t>，人数为招聘岗位计划数的10倍</w:t>
      </w:r>
      <w:r>
        <w:rPr>
          <w:rFonts w:hint="eastAsia"/>
          <w:color w:val="auto"/>
          <w:u w:val="none"/>
          <w:lang w:val="en-US" w:eastAsia="zh-CN"/>
        </w:rPr>
        <w:t>。知识测验末位成绩相同者均进入初试。</w:t>
      </w:r>
      <w:r>
        <w:rPr>
          <w:rFonts w:hint="eastAsia"/>
          <w:b w:val="0"/>
          <w:bCs w:val="0"/>
          <w:color w:val="auto"/>
          <w:u w:val="none"/>
          <w:lang w:val="en-US" w:eastAsia="zh-CN"/>
        </w:rPr>
        <w:t>知识测验得分不计入初试成绩。</w:t>
      </w:r>
      <w:r>
        <w:rPr>
          <w:rFonts w:hint="eastAsia"/>
          <w:color w:val="auto"/>
          <w:u w:val="none"/>
          <w:lang w:val="en-US" w:eastAsia="zh-CN"/>
        </w:rPr>
        <w:t>入围名单于3月9日（星期六）晚</w:t>
      </w:r>
      <w:r>
        <w:rPr>
          <w:rFonts w:hint="eastAsia"/>
          <w:color w:val="auto"/>
          <w:u w:val="none"/>
        </w:rPr>
        <w:t>18∶00</w:t>
      </w:r>
      <w:r>
        <w:rPr>
          <w:rFonts w:hint="eastAsia"/>
          <w:color w:val="auto"/>
          <w:u w:val="none"/>
          <w:lang w:eastAsia="zh-CN"/>
        </w:rPr>
        <w:t>左右</w:t>
      </w:r>
      <w:r>
        <w:rPr>
          <w:rFonts w:hint="eastAsia"/>
          <w:color w:val="auto"/>
          <w:u w:val="none"/>
        </w:rPr>
        <w:t>在学校网站公布</w:t>
      </w:r>
      <w:r>
        <w:rPr>
          <w:rFonts w:hint="eastAsia"/>
          <w:color w:val="auto"/>
          <w:u w:val="none"/>
          <w:lang w:eastAsia="zh-CN"/>
        </w:rPr>
        <w:t>。入围人员于</w:t>
      </w:r>
      <w:r>
        <w:rPr>
          <w:rFonts w:hint="eastAsia"/>
          <w:color w:val="auto"/>
          <w:u w:val="none"/>
        </w:rPr>
        <w:t>3月10日</w:t>
      </w:r>
      <w:r>
        <w:rPr>
          <w:rFonts w:hint="eastAsia"/>
          <w:color w:val="auto"/>
          <w:u w:val="none"/>
          <w:lang w:eastAsia="zh-CN"/>
        </w:rPr>
        <w:t>（星期日）上午</w:t>
      </w:r>
      <w:r>
        <w:rPr>
          <w:rFonts w:hint="eastAsia"/>
          <w:color w:val="auto"/>
          <w:u w:val="none"/>
        </w:rPr>
        <w:t>8∶00</w:t>
      </w:r>
      <w:r>
        <w:rPr>
          <w:rFonts w:hint="eastAsia"/>
          <w:color w:val="auto"/>
          <w:u w:val="none"/>
          <w:lang w:eastAsia="zh-CN"/>
        </w:rPr>
        <w:t>在</w:t>
      </w:r>
      <w:r>
        <w:rPr>
          <w:rFonts w:hint="eastAsia"/>
          <w:color w:val="auto"/>
          <w:u w:val="none"/>
        </w:rPr>
        <w:t>职教城校区慎勤楼报告厅</w:t>
      </w:r>
      <w:r>
        <w:rPr>
          <w:rFonts w:hint="eastAsia"/>
          <w:color w:val="auto"/>
          <w:u w:val="none"/>
          <w:lang w:eastAsia="zh-CN"/>
        </w:rPr>
        <w:t>集合。</w:t>
      </w:r>
    </w:p>
    <w:p>
      <w:pPr>
        <w:adjustRightInd w:val="0"/>
        <w:snapToGrid w:val="0"/>
        <w:spacing w:line="360" w:lineRule="auto"/>
        <w:ind w:firstLine="422" w:firstLineChars="200"/>
        <w:rPr>
          <w:b/>
          <w:bCs/>
        </w:rPr>
      </w:pPr>
      <w:r>
        <w:rPr>
          <w:rFonts w:hint="eastAsia"/>
          <w:b/>
          <w:bCs/>
        </w:rPr>
        <w:t>二、相关要求</w:t>
      </w:r>
    </w:p>
    <w:p>
      <w:pPr>
        <w:adjustRightInd w:val="0"/>
        <w:snapToGrid w:val="0"/>
        <w:spacing w:line="360" w:lineRule="auto"/>
        <w:ind w:firstLine="420"/>
        <w:rPr>
          <w:rFonts w:hint="eastAsia"/>
        </w:rPr>
      </w:pPr>
      <w:r>
        <w:rPr>
          <w:rFonts w:hint="eastAsia"/>
          <w:lang w:val="en-US" w:eastAsia="zh-CN"/>
        </w:rPr>
        <w:t>1、</w:t>
      </w:r>
      <w:r>
        <w:rPr>
          <w:rFonts w:hint="eastAsia"/>
        </w:rPr>
        <w:t>“</w:t>
      </w:r>
      <w:r>
        <w:rPr>
          <w:rFonts w:hint="eastAsia"/>
          <w:lang w:eastAsia="zh-CN"/>
        </w:rPr>
        <w:t>紧缺急需型</w:t>
      </w:r>
      <w:r>
        <w:rPr>
          <w:rFonts w:hint="eastAsia"/>
        </w:rPr>
        <w:t>岗位”报考人员不参加初试。</w:t>
      </w:r>
    </w:p>
    <w:p>
      <w:pPr>
        <w:adjustRightInd w:val="0"/>
        <w:snapToGrid w:val="0"/>
        <w:spacing w:line="360" w:lineRule="auto"/>
        <w:ind w:firstLine="420" w:firstLineChars="200"/>
      </w:pPr>
      <w:r>
        <w:rPr>
          <w:rFonts w:hint="eastAsia"/>
          <w:lang w:val="en-US" w:eastAsia="zh-CN"/>
        </w:rPr>
        <w:t>2、</w:t>
      </w:r>
      <w:r>
        <w:rPr>
          <w:rFonts w:hint="eastAsia"/>
        </w:rPr>
        <w:t>考生凭本人有效居民身份证</w:t>
      </w:r>
      <w:r>
        <w:rPr>
          <w:rFonts w:hint="eastAsia"/>
          <w:lang w:val="en-US" w:eastAsia="zh-CN"/>
        </w:rPr>
        <w:t>原件</w:t>
      </w:r>
      <w:r>
        <w:rPr>
          <w:rFonts w:hint="eastAsia"/>
        </w:rPr>
        <w:t>和《</w:t>
      </w:r>
      <w:r>
        <w:rPr>
          <w:rFonts w:hint="eastAsia"/>
          <w:lang w:eastAsia="zh-CN"/>
        </w:rPr>
        <w:t>报名表</w:t>
      </w:r>
      <w:r>
        <w:rPr>
          <w:rFonts w:hint="eastAsia"/>
        </w:rPr>
        <w:t>》参加初试，</w:t>
      </w:r>
      <w:r>
        <w:rPr>
          <w:rFonts w:hint="eastAsia"/>
          <w:lang w:val="en-US" w:eastAsia="zh-CN"/>
        </w:rPr>
        <w:t>缺一不可。</w:t>
      </w:r>
      <w:r>
        <w:rPr>
          <w:rFonts w:hint="eastAsia"/>
        </w:rPr>
        <w:t>未按时到达集合地点者视为自动放弃。初试时考生不得自带任何资料。</w:t>
      </w:r>
    </w:p>
    <w:p>
      <w:pPr>
        <w:adjustRightInd w:val="0"/>
        <w:snapToGrid w:val="0"/>
        <w:spacing w:line="360" w:lineRule="auto"/>
        <w:ind w:firstLine="422" w:firstLineChars="200"/>
        <w:rPr>
          <w:b/>
          <w:bCs/>
        </w:rPr>
      </w:pPr>
      <w:r>
        <w:rPr>
          <w:rFonts w:hint="eastAsia"/>
          <w:b/>
          <w:bCs/>
        </w:rPr>
        <w:t>三、联系方式</w:t>
      </w:r>
    </w:p>
    <w:p>
      <w:pPr>
        <w:adjustRightInd w:val="0"/>
        <w:snapToGrid w:val="0"/>
        <w:spacing w:line="360" w:lineRule="auto"/>
        <w:ind w:firstLine="420"/>
      </w:pPr>
      <w:r>
        <w:rPr>
          <w:rFonts w:hint="eastAsia"/>
        </w:rPr>
        <w:t>联系电话：0731-84905711，15802545793（刘老师）</w:t>
      </w:r>
    </w:p>
    <w:p>
      <w:pPr>
        <w:adjustRightInd w:val="0"/>
        <w:snapToGrid w:val="0"/>
        <w:spacing w:line="360" w:lineRule="auto"/>
        <w:ind w:firstLine="420"/>
      </w:pPr>
      <w:r>
        <w:rPr>
          <w:rFonts w:hint="eastAsia"/>
        </w:rPr>
        <w:t>学校地址：长沙市雨花区环保科技园职教城路68号</w:t>
      </w:r>
    </w:p>
    <w:p>
      <w:pPr>
        <w:adjustRightInd w:val="0"/>
        <w:snapToGrid w:val="0"/>
        <w:spacing w:line="360" w:lineRule="auto"/>
        <w:ind w:firstLine="420"/>
      </w:pPr>
      <w:r>
        <w:rPr>
          <w:rFonts w:hint="eastAsia"/>
        </w:rPr>
        <w:t>学校网址：http://www.cscjedu.com/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9B0D80"/>
    <w:rsid w:val="509B0D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2019-02-25T01:55:00Z</dcterms:created>
  <dc:creator>彭建宏</dc:creator>
  <cp:lastModifiedBy>彭建宏</cp:lastModifiedBy>
  <dcterms:modified xsi:type="dcterms:W3CDTF">2019-02-25T01:56:11Z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